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[if your state or city requires one]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VISIT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the visit covered]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 1]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rate,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 2]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rate,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[Task 3]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rate, or hours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Materials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you bought]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Trip charge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 TERMS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date, how customers can pay, your job minimum if you have one.]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GUARANTEE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[How long your work is guaranteed.]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zarla.com/guides/handyman-invoice-template.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Handyman Invoice Template</dc:title>
  <dc:subject/>
  <dc:creator>Zarla</dc:creator>
  <cp:keywords>html-to-docx</cp:keywords>
  <dc:description/>
  <cp:lastModifiedBy>html-to-docx</cp:lastModifiedBy>
  <cp:revision>1</cp:revision>
  <dcterms:created xsi:type="dcterms:W3CDTF">2026-09-25T23:09:00.246Z</dcterms:created>
  <dcterms:modified xsi:type="dcterms:W3CDTF">2026-09-25T23:09:00.246Z</dcterms:modified>
</cp:coreProperties>
</file>